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项目名称：坎尔孜乡东坎尔孜村文化活动中心     </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 奇台县坎尔孜乡人民政府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项目负责人（签章）：萨迪克</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  2018 年 8 月 16 日</w:t>
      </w:r>
    </w:p>
    <w:p>
      <w:pPr>
        <w:spacing w:line="540" w:lineRule="exact"/>
        <w:jc w:val="center"/>
        <w:rPr>
          <w:rFonts w:hAnsi="宋体" w:eastAsia="仿宋_GB2312" w:cs="宋体"/>
          <w:kern w:val="0"/>
          <w:sz w:val="30"/>
          <w:szCs w:val="30"/>
        </w:rPr>
      </w:pPr>
    </w:p>
    <w:p>
      <w:pPr>
        <w:spacing w:line="540" w:lineRule="exact"/>
        <w:rPr>
          <w:rStyle w:val="19"/>
          <w:rFonts w:hint="eastAsia" w:ascii="黑体" w:hAnsi="黑体" w:eastAsia="黑体"/>
          <w:b w:val="0"/>
          <w:spacing w:val="-4"/>
          <w:sz w:val="32"/>
          <w:szCs w:val="32"/>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14" w:firstLineChars="196"/>
        <w:rPr>
          <w:rStyle w:val="19"/>
          <w:rFonts w:ascii="楷体" w:hAnsi="楷体" w:eastAsia="楷体"/>
          <w:spacing w:val="-4"/>
          <w:sz w:val="32"/>
          <w:szCs w:val="32"/>
        </w:rPr>
      </w:pPr>
      <w:r>
        <w:rPr>
          <w:rStyle w:val="19"/>
          <w:rFonts w:hint="eastAsia" w:ascii="楷体" w:hAnsi="楷体" w:eastAsia="楷体"/>
          <w:spacing w:val="-4"/>
          <w:sz w:val="32"/>
          <w:szCs w:val="32"/>
        </w:rPr>
        <w:t>1、单位职能：</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（1）执行本级人民代表大会的决议和上级国家行政机关的决定和命令，发布决定和命令。</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（2）执行本行政区域内的经济和社会发展计划、预算，管理本行政区域内的经济、教育、科学、文化、卫生、体育事业和财政、民政、公安、司法行政、计划生育等行政工作；</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（3）保护社会主义的全民所有的财产和劳动群众集体所有的财产，保护公民私人所有的合法财产，维护社会秩序，保障公民的人身权利、民主权利和其他权利；</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（4）保护各种经济组织的合法权益；</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（5）保障少数民族的权利和尊重少数民族的风俗习惯；</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（6）保障宪法和法律赋予妇女的男女平等、同工同酬和婚姻自由等各项权利；</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（7）办理上级人民政府交办的其他事项。</w:t>
      </w:r>
    </w:p>
    <w:p>
      <w:pPr>
        <w:spacing w:line="500" w:lineRule="exact"/>
        <w:ind w:firstLine="596" w:firstLineChars="198"/>
        <w:rPr>
          <w:rFonts w:ascii="仿宋_GB2312" w:hAnsi="宋体" w:eastAsia="仿宋_GB2312" w:cs="仿宋_GB2312"/>
          <w:b/>
          <w:bCs/>
          <w:sz w:val="30"/>
          <w:szCs w:val="30"/>
        </w:rPr>
      </w:pPr>
      <w:r>
        <w:rPr>
          <w:rFonts w:hint="eastAsia" w:ascii="仿宋_GB2312" w:hAnsi="宋体" w:eastAsia="仿宋_GB2312" w:cs="仿宋_GB2312"/>
          <w:b/>
          <w:bCs/>
          <w:sz w:val="30"/>
          <w:szCs w:val="30"/>
        </w:rPr>
        <w:t>2、机构设置及人员情况：</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奇台县</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人民政府无下属预算单位，下设4个中心4个站所，分别是：</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国土规划建设发展中心、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综合文化服务中心、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农业（畜牧业）发展服务中心、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社会保障（民政）服务中心、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综治服务中心（前</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司法所）、</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财政所、</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人口和计划生育生殖健康服务站、</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食品药品监督管理站。</w:t>
      </w:r>
    </w:p>
    <w:p>
      <w:pPr>
        <w:widowControl/>
        <w:spacing w:line="560" w:lineRule="exact"/>
        <w:ind w:firstLine="640"/>
        <w:jc w:val="left"/>
        <w:rPr>
          <w:rStyle w:val="19"/>
          <w:rFonts w:ascii="楷体" w:hAnsi="楷体" w:eastAsia="楷体"/>
          <w:spacing w:val="-4"/>
          <w:sz w:val="32"/>
          <w:szCs w:val="32"/>
          <w:highlight w:val="yellow"/>
        </w:rPr>
      </w:pPr>
      <w:r>
        <w:rPr>
          <w:rFonts w:hint="eastAsia" w:ascii="仿宋_GB2312" w:hAnsi="黑体" w:eastAsia="仿宋_GB2312" w:cs="宋体"/>
          <w:bCs/>
          <w:color w:val="auto"/>
          <w:kern w:val="0"/>
          <w:sz w:val="32"/>
          <w:szCs w:val="32"/>
        </w:rPr>
        <w:t>奇台县坎尔孜乡人民政府</w:t>
      </w:r>
      <w:r>
        <w:rPr>
          <w:rFonts w:ascii="仿宋_GB2312" w:hAnsi="黑体" w:eastAsia="仿宋_GB2312" w:cs="宋体"/>
          <w:bCs/>
          <w:color w:val="auto"/>
          <w:kern w:val="0"/>
          <w:sz w:val="32"/>
          <w:szCs w:val="32"/>
        </w:rPr>
        <w:t>单位编制数</w:t>
      </w:r>
      <w:r>
        <w:rPr>
          <w:rFonts w:hint="eastAsia" w:ascii="仿宋_GB2312" w:hAnsi="黑体" w:eastAsia="仿宋_GB2312" w:cs="宋体"/>
          <w:bCs/>
          <w:color w:val="auto"/>
          <w:kern w:val="0"/>
          <w:sz w:val="32"/>
          <w:szCs w:val="32"/>
          <w:lang w:val="en-US" w:eastAsia="zh-CN"/>
        </w:rPr>
        <w:t>52</w:t>
      </w:r>
      <w:r>
        <w:rPr>
          <w:rFonts w:hint="eastAsia" w:ascii="仿宋_GB2312" w:hAnsi="黑体" w:eastAsia="仿宋_GB2312" w:cs="宋体"/>
          <w:bCs/>
          <w:color w:val="auto"/>
          <w:kern w:val="0"/>
          <w:sz w:val="32"/>
          <w:szCs w:val="32"/>
        </w:rPr>
        <w:t>人</w:t>
      </w:r>
      <w:r>
        <w:rPr>
          <w:rFonts w:ascii="仿宋_GB2312" w:hAnsi="黑体" w:eastAsia="仿宋_GB2312" w:cs="宋体"/>
          <w:bCs/>
          <w:color w:val="auto"/>
          <w:kern w:val="0"/>
          <w:sz w:val="32"/>
          <w:szCs w:val="32"/>
        </w:rPr>
        <w:t>，实有人数</w:t>
      </w:r>
      <w:r>
        <w:rPr>
          <w:rFonts w:hint="eastAsia" w:ascii="仿宋_GB2312" w:hAnsi="黑体" w:eastAsia="仿宋_GB2312" w:cs="宋体"/>
          <w:bCs/>
          <w:color w:val="auto"/>
          <w:kern w:val="0"/>
          <w:sz w:val="32"/>
          <w:szCs w:val="32"/>
          <w:lang w:val="en-US" w:eastAsia="zh-CN"/>
        </w:rPr>
        <w:t>65</w:t>
      </w:r>
      <w:r>
        <w:rPr>
          <w:rFonts w:ascii="仿宋_GB2312" w:hAnsi="黑体" w:eastAsia="仿宋_GB2312" w:cs="宋体"/>
          <w:bCs/>
          <w:color w:val="auto"/>
          <w:kern w:val="0"/>
          <w:sz w:val="32"/>
          <w:szCs w:val="32"/>
        </w:rPr>
        <w:t>人，其中：在职</w:t>
      </w:r>
      <w:r>
        <w:rPr>
          <w:rFonts w:hint="eastAsia" w:ascii="仿宋_GB2312" w:hAnsi="黑体" w:eastAsia="仿宋_GB2312" w:cs="宋体"/>
          <w:bCs/>
          <w:color w:val="auto"/>
          <w:kern w:val="0"/>
          <w:sz w:val="32"/>
          <w:szCs w:val="32"/>
          <w:lang w:val="en-US" w:eastAsia="zh-CN"/>
        </w:rPr>
        <w:t>49</w:t>
      </w:r>
      <w:r>
        <w:rPr>
          <w:rFonts w:ascii="仿宋_GB2312" w:hAnsi="黑体" w:eastAsia="仿宋_GB2312" w:cs="宋体"/>
          <w:bCs/>
          <w:color w:val="auto"/>
          <w:kern w:val="0"/>
          <w:sz w:val="32"/>
          <w:szCs w:val="32"/>
        </w:rPr>
        <w:t>人； 退休</w:t>
      </w:r>
      <w:r>
        <w:rPr>
          <w:rFonts w:hint="eastAsia" w:ascii="仿宋_GB2312" w:hAnsi="黑体" w:eastAsia="仿宋_GB2312" w:cs="宋体"/>
          <w:bCs/>
          <w:color w:val="auto"/>
          <w:kern w:val="0"/>
          <w:sz w:val="32"/>
          <w:szCs w:val="32"/>
        </w:rPr>
        <w:t>16</w:t>
      </w:r>
      <w:r>
        <w:rPr>
          <w:rFonts w:ascii="仿宋_GB2312" w:hAnsi="黑体" w:eastAsia="仿宋_GB2312" w:cs="宋体"/>
          <w:bCs/>
          <w:color w:val="auto"/>
          <w:kern w:val="0"/>
          <w:sz w:val="32"/>
          <w:szCs w:val="32"/>
        </w:rPr>
        <w:t>人，增加</w:t>
      </w:r>
      <w:r>
        <w:rPr>
          <w:rFonts w:hint="eastAsia" w:ascii="仿宋_GB2312" w:hAnsi="黑体" w:eastAsia="仿宋_GB2312" w:cs="宋体"/>
          <w:bCs/>
          <w:color w:val="auto"/>
          <w:kern w:val="0"/>
          <w:sz w:val="32"/>
          <w:szCs w:val="32"/>
        </w:rPr>
        <w:t>2</w:t>
      </w:r>
      <w:r>
        <w:rPr>
          <w:rFonts w:ascii="仿宋_GB2312" w:hAnsi="黑体" w:eastAsia="仿宋_GB2312" w:cs="宋体"/>
          <w:bCs/>
          <w:color w:val="auto"/>
          <w:kern w:val="0"/>
          <w:sz w:val="32"/>
          <w:szCs w:val="32"/>
        </w:rPr>
        <w:t>人；离休</w:t>
      </w:r>
      <w:r>
        <w:rPr>
          <w:rFonts w:hint="eastAsia" w:ascii="仿宋_GB2312" w:hAnsi="黑体" w:eastAsia="仿宋_GB2312" w:cs="宋体"/>
          <w:bCs/>
          <w:color w:val="auto"/>
          <w:kern w:val="0"/>
          <w:sz w:val="32"/>
          <w:szCs w:val="32"/>
        </w:rPr>
        <w:t>0</w:t>
      </w:r>
      <w:r>
        <w:rPr>
          <w:rFonts w:ascii="仿宋_GB2312" w:hAnsi="黑体" w:eastAsia="仿宋_GB2312" w:cs="宋体"/>
          <w:bCs/>
          <w:color w:val="auto"/>
          <w:kern w:val="0"/>
          <w:sz w:val="32"/>
          <w:szCs w:val="32"/>
        </w:rPr>
        <w:t>人，增加或减少</w:t>
      </w:r>
      <w:r>
        <w:rPr>
          <w:rFonts w:hint="eastAsia" w:ascii="仿宋_GB2312" w:hAnsi="黑体" w:eastAsia="仿宋_GB2312" w:cs="宋体"/>
          <w:bCs/>
          <w:color w:val="auto"/>
          <w:kern w:val="0"/>
          <w:sz w:val="32"/>
          <w:szCs w:val="32"/>
        </w:rPr>
        <w:t>0</w:t>
      </w:r>
      <w:r>
        <w:rPr>
          <w:rFonts w:ascii="仿宋_GB2312" w:hAnsi="黑体" w:eastAsia="仿宋_GB2312" w:cs="宋体"/>
          <w:bCs/>
          <w:color w:val="auto"/>
          <w:kern w:val="0"/>
          <w:sz w:val="32"/>
          <w:szCs w:val="32"/>
        </w:rPr>
        <w:t>人</w:t>
      </w:r>
      <w:r>
        <w:rPr>
          <w:rFonts w:hint="eastAsia" w:ascii="仿宋_GB2312" w:hAnsi="黑体" w:eastAsia="仿宋_GB2312" w:cs="宋体"/>
          <w:bCs/>
          <w:color w:val="auto"/>
          <w:kern w:val="0"/>
          <w:sz w:val="32"/>
          <w:szCs w:val="32"/>
          <w:lang w:val="en-US" w:eastAsia="zh-CN"/>
        </w:rPr>
        <w:t>.</w:t>
      </w:r>
    </w:p>
    <w:p>
      <w:pPr>
        <w:numPr>
          <w:ilvl w:val="0"/>
          <w:numId w:val="1"/>
        </w:num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spacing w:line="540" w:lineRule="exact"/>
        <w:rPr>
          <w:rStyle w:val="19"/>
          <w:rFonts w:ascii="仿宋" w:hAnsi="仿宋" w:eastAsia="仿宋"/>
          <w:b w:val="0"/>
          <w:color w:val="auto"/>
          <w:spacing w:val="-4"/>
          <w:sz w:val="32"/>
          <w:szCs w:val="32"/>
          <w:highlight w:val="none"/>
        </w:rPr>
      </w:pPr>
      <w:r>
        <w:rPr>
          <w:rStyle w:val="19"/>
          <w:rFonts w:hint="eastAsia" w:ascii="楷体" w:hAnsi="楷体" w:eastAsia="楷体"/>
          <w:color w:val="FF0000"/>
          <w:spacing w:val="-4"/>
          <w:sz w:val="32"/>
          <w:szCs w:val="32"/>
        </w:rPr>
        <w:t xml:space="preserve">   </w:t>
      </w:r>
      <w:r>
        <w:rPr>
          <w:rStyle w:val="19"/>
          <w:rFonts w:hint="eastAsia" w:ascii="楷体" w:hAnsi="楷体" w:eastAsia="楷体"/>
          <w:color w:val="auto"/>
          <w:spacing w:val="-4"/>
          <w:sz w:val="32"/>
          <w:szCs w:val="32"/>
          <w:highlight w:val="none"/>
        </w:rPr>
        <w:t xml:space="preserve"> </w:t>
      </w:r>
      <w:r>
        <w:rPr>
          <w:rFonts w:hint="eastAsia" w:hAnsi="宋体" w:eastAsia="仿宋_GB2312" w:cs="宋体"/>
          <w:color w:val="auto"/>
          <w:kern w:val="0"/>
          <w:sz w:val="36"/>
          <w:szCs w:val="36"/>
          <w:highlight w:val="none"/>
        </w:rPr>
        <w:t>坎尔孜乡东坎尔孜村文化活动中心</w:t>
      </w:r>
      <w:r>
        <w:rPr>
          <w:rStyle w:val="19"/>
          <w:rFonts w:hint="eastAsia" w:ascii="仿宋" w:hAnsi="仿宋" w:eastAsia="仿宋"/>
          <w:b w:val="0"/>
          <w:color w:val="auto"/>
          <w:spacing w:val="-4"/>
          <w:sz w:val="32"/>
          <w:szCs w:val="32"/>
          <w:highlight w:val="none"/>
          <w:lang w:eastAsia="zh-CN"/>
        </w:rPr>
        <w:t>项目资金是县级财政拨款</w:t>
      </w:r>
      <w:r>
        <w:rPr>
          <w:rStyle w:val="19"/>
          <w:rFonts w:hint="eastAsia" w:ascii="仿宋" w:hAnsi="仿宋" w:eastAsia="仿宋"/>
          <w:b w:val="0"/>
          <w:color w:val="auto"/>
          <w:spacing w:val="-4"/>
          <w:sz w:val="32"/>
          <w:szCs w:val="32"/>
          <w:highlight w:val="none"/>
          <w:lang w:val="en-US" w:eastAsia="zh-CN"/>
        </w:rPr>
        <w:t>,</w:t>
      </w:r>
      <w:r>
        <w:rPr>
          <w:rStyle w:val="19"/>
          <w:rFonts w:hint="eastAsia" w:ascii="仿宋" w:hAnsi="仿宋" w:eastAsia="仿宋"/>
          <w:b w:val="0"/>
          <w:color w:val="auto"/>
          <w:spacing w:val="-4"/>
          <w:sz w:val="32"/>
          <w:szCs w:val="32"/>
          <w:highlight w:val="none"/>
          <w:lang w:eastAsia="zh-CN"/>
        </w:rPr>
        <w:t>项目资金的主要内容是</w:t>
      </w:r>
      <w:r>
        <w:rPr>
          <w:rStyle w:val="19"/>
          <w:rFonts w:hint="eastAsia" w:ascii="仿宋" w:hAnsi="仿宋" w:eastAsia="仿宋"/>
          <w:b w:val="0"/>
          <w:color w:val="auto"/>
          <w:spacing w:val="-4"/>
          <w:sz w:val="32"/>
          <w:szCs w:val="32"/>
          <w:highlight w:val="none"/>
        </w:rPr>
        <w:t>在村里建设一个集文化活动、村民健身、科技培训为一体的村级文化活动中心，室内设有图书阅览室、村民娱乐室、社团活动室、多媒体培训室、卫生间等，提高村民思想文化水平、提高村民文化素质，丰富村民的精神世界。</w:t>
      </w:r>
    </w:p>
    <w:p>
      <w:pPr>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720" w:firstLineChars="200"/>
        <w:rPr>
          <w:rStyle w:val="19"/>
          <w:rFonts w:ascii="仿宋" w:hAnsi="仿宋" w:eastAsia="仿宋"/>
          <w:b w:val="0"/>
          <w:spacing w:val="-4"/>
          <w:sz w:val="32"/>
          <w:szCs w:val="32"/>
        </w:rPr>
      </w:pPr>
      <w:r>
        <w:rPr>
          <w:rFonts w:hint="eastAsia" w:hAnsi="宋体" w:eastAsia="仿宋_GB2312" w:cs="宋体"/>
          <w:kern w:val="0"/>
          <w:sz w:val="36"/>
          <w:szCs w:val="36"/>
        </w:rPr>
        <w:t>坎尔孜乡东坎尔孜村文化活动中心</w:t>
      </w:r>
      <w:r>
        <w:rPr>
          <w:rStyle w:val="19"/>
          <w:rFonts w:hint="eastAsia" w:ascii="仿宋" w:hAnsi="仿宋" w:eastAsia="仿宋"/>
          <w:b w:val="0"/>
          <w:spacing w:val="-4"/>
          <w:sz w:val="32"/>
          <w:szCs w:val="32"/>
        </w:rPr>
        <w:t>项目支出：该项目资金投入109.6万元，其中上级财政拨款安排109.6万元</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720" w:firstLineChars="200"/>
        <w:rPr>
          <w:rStyle w:val="19"/>
          <w:rFonts w:ascii="仿宋" w:hAnsi="仿宋" w:eastAsia="仿宋"/>
          <w:b w:val="0"/>
          <w:spacing w:val="-4"/>
          <w:sz w:val="32"/>
          <w:szCs w:val="32"/>
          <w:highlight w:val="yellow"/>
        </w:rPr>
      </w:pPr>
      <w:r>
        <w:rPr>
          <w:rFonts w:hint="eastAsia" w:hAnsi="宋体" w:eastAsia="仿宋_GB2312" w:cs="宋体"/>
          <w:kern w:val="0"/>
          <w:sz w:val="36"/>
          <w:szCs w:val="36"/>
        </w:rPr>
        <w:t>坎尔孜乡东坎尔孜村文化活动中心</w:t>
      </w:r>
      <w:r>
        <w:rPr>
          <w:rStyle w:val="19"/>
          <w:rFonts w:hint="eastAsia" w:ascii="仿宋" w:hAnsi="仿宋" w:eastAsia="仿宋"/>
          <w:b w:val="0"/>
          <w:spacing w:val="-4"/>
          <w:sz w:val="32"/>
          <w:szCs w:val="32"/>
        </w:rPr>
        <w:t>项目支出109.6万元，用于工程款109.6万元。</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1、制定坎尔孜乡东坎尔孜村文化活动中心专项资金管理暂行办法</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2、制定坎尔孜乡东坎尔孜村文化活动中心工作绩效考核暂行办法及绩效考核评分细则。</w:t>
      </w:r>
    </w:p>
    <w:p>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pStyle w:val="16"/>
        <w:widowControl/>
        <w:spacing w:line="580" w:lineRule="atLeast"/>
        <w:ind w:firstLine="420"/>
        <w:jc w:val="left"/>
        <w:rPr>
          <w:rFonts w:hint="eastAsia" w:ascii="仿宋" w:hAnsi="仿宋" w:eastAsia="仿宋" w:cs="仿宋"/>
          <w:i w:val="0"/>
          <w:caps w:val="0"/>
          <w:color w:val="333333"/>
          <w:spacing w:val="0"/>
          <w:sz w:val="32"/>
          <w:szCs w:val="32"/>
        </w:rPr>
      </w:pPr>
      <w:r>
        <w:rPr>
          <w:rFonts w:hint="eastAsia" w:ascii="仿宋" w:hAnsi="仿宋" w:eastAsia="仿宋" w:cs="仿宋"/>
          <w:color w:val="auto"/>
          <w:kern w:val="0"/>
          <w:sz w:val="32"/>
          <w:szCs w:val="32"/>
          <w:highlight w:val="none"/>
        </w:rPr>
        <w:t>坎尔孜乡东坎尔孜村文化活动中心</w:t>
      </w:r>
      <w:r>
        <w:rPr>
          <w:rStyle w:val="19"/>
          <w:rFonts w:hint="eastAsia" w:ascii="仿宋" w:hAnsi="仿宋" w:eastAsia="仿宋" w:cs="仿宋"/>
          <w:b w:val="0"/>
          <w:color w:val="auto"/>
          <w:spacing w:val="-4"/>
          <w:sz w:val="32"/>
          <w:szCs w:val="32"/>
          <w:highlight w:val="none"/>
          <w:lang w:eastAsia="zh-CN"/>
        </w:rPr>
        <w:t>项目资金是县级财政拨款</w:t>
      </w:r>
      <w:r>
        <w:rPr>
          <w:rStyle w:val="19"/>
          <w:rFonts w:hint="eastAsia" w:ascii="仿宋" w:hAnsi="仿宋" w:eastAsia="仿宋" w:cs="仿宋"/>
          <w:b w:val="0"/>
          <w:color w:val="auto"/>
          <w:spacing w:val="-4"/>
          <w:sz w:val="32"/>
          <w:szCs w:val="32"/>
          <w:highlight w:val="none"/>
          <w:lang w:val="en-US" w:eastAsia="zh-CN"/>
        </w:rPr>
        <w:t>,</w:t>
      </w:r>
      <w:r>
        <w:rPr>
          <w:rStyle w:val="19"/>
          <w:rFonts w:hint="eastAsia" w:ascii="仿宋" w:hAnsi="仿宋" w:eastAsia="仿宋" w:cs="仿宋"/>
          <w:b w:val="0"/>
          <w:color w:val="auto"/>
          <w:spacing w:val="-4"/>
          <w:sz w:val="32"/>
          <w:szCs w:val="32"/>
          <w:highlight w:val="none"/>
          <w:lang w:eastAsia="zh-CN"/>
        </w:rPr>
        <w:t>项目资金的主要内容是</w:t>
      </w:r>
      <w:r>
        <w:rPr>
          <w:rStyle w:val="19"/>
          <w:rFonts w:hint="eastAsia" w:ascii="仿宋" w:hAnsi="仿宋" w:eastAsia="仿宋" w:cs="仿宋"/>
          <w:b w:val="0"/>
          <w:color w:val="auto"/>
          <w:spacing w:val="-4"/>
          <w:sz w:val="32"/>
          <w:szCs w:val="32"/>
          <w:highlight w:val="none"/>
        </w:rPr>
        <w:t>在村里建设一个集文化活动、村民健身、科技培训为一体的村级文化活动中心</w:t>
      </w:r>
      <w:r>
        <w:rPr>
          <w:rStyle w:val="19"/>
          <w:rFonts w:hint="eastAsia" w:ascii="仿宋" w:hAnsi="仿宋" w:eastAsia="仿宋" w:cs="仿宋"/>
          <w:b w:val="0"/>
          <w:spacing w:val="-4"/>
          <w:sz w:val="32"/>
          <w:szCs w:val="32"/>
        </w:rPr>
        <w:t>，</w:t>
      </w:r>
      <w:r>
        <w:rPr>
          <w:rFonts w:hint="eastAsia" w:ascii="仿宋" w:hAnsi="仿宋" w:eastAsia="仿宋" w:cs="仿宋"/>
          <w:i w:val="0"/>
          <w:caps w:val="0"/>
          <w:color w:val="333333"/>
          <w:spacing w:val="0"/>
          <w:sz w:val="32"/>
          <w:szCs w:val="32"/>
        </w:rPr>
        <w:t>1、基层文化活动中心大楼建设标准（1）有一个党员代表会议斤；（2）有一个嘉兴图书管分管阅览室（3）有一个文体活动排练室；（4）有一个多媒体室；（5）有一个文化礼堂；（6）有一个漢出表演斤；（7）有一个道具室；（8）有一套规章制度和一名文化管理员；（9）有一个值班室</w:t>
      </w:r>
      <w:r>
        <w:rPr>
          <w:rFonts w:hint="eastAsia" w:ascii="仿宋" w:hAnsi="仿宋" w:eastAsia="仿宋" w:cs="仿宋"/>
          <w:i w:val="0"/>
          <w:caps w:val="0"/>
          <w:color w:val="333333"/>
          <w:spacing w:val="0"/>
          <w:sz w:val="32"/>
          <w:szCs w:val="32"/>
          <w:lang w:val="en-US" w:eastAsia="zh-CN"/>
        </w:rPr>
        <w:t>.</w:t>
      </w:r>
    </w:p>
    <w:p>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40" w:firstLineChars="200"/>
        <w:rPr>
          <w:rStyle w:val="19"/>
          <w:rFonts w:hint="eastAsia" w:ascii="仿宋" w:hAnsi="仿宋" w:eastAsia="仿宋" w:cs="仿宋"/>
          <w:b w:val="0"/>
          <w:spacing w:val="-4"/>
          <w:sz w:val="32"/>
          <w:szCs w:val="32"/>
        </w:rPr>
      </w:pPr>
      <w:r>
        <w:rPr>
          <w:rFonts w:hint="eastAsia" w:ascii="仿宋" w:hAnsi="仿宋" w:eastAsia="仿宋" w:cs="仿宋"/>
          <w:color w:val="auto"/>
          <w:kern w:val="0"/>
          <w:sz w:val="32"/>
          <w:szCs w:val="32"/>
          <w:highlight w:val="none"/>
        </w:rPr>
        <w:t>坎尔孜乡东坎尔孜村文化活动中心</w:t>
      </w:r>
      <w:r>
        <w:rPr>
          <w:rStyle w:val="19"/>
          <w:rFonts w:hint="eastAsia" w:ascii="仿宋" w:hAnsi="仿宋" w:eastAsia="仿宋" w:cs="仿宋"/>
          <w:b w:val="0"/>
          <w:spacing w:val="-4"/>
          <w:sz w:val="32"/>
          <w:szCs w:val="32"/>
        </w:rPr>
        <w:t>项目资金管理严格执行国家有关财务规章制度规定的开支范围与开支标准，按照国家工程招标的有关规定执行，</w:t>
      </w:r>
      <w:r>
        <w:rPr>
          <w:rFonts w:hint="eastAsia" w:ascii="仿宋" w:hAnsi="仿宋" w:eastAsia="仿宋" w:cs="仿宋"/>
          <w:color w:val="333333"/>
          <w:sz w:val="32"/>
          <w:szCs w:val="32"/>
          <w:shd w:val="clear" w:color="auto" w:fill="FFFFFF"/>
        </w:rPr>
        <w:t>对项目的实施实行项目管理责任制，项目负责人根据通过的项目计划和实施方案，具体组织项目实施。财务室按照财务、预算管理制度，对专项资金项目的实施、付款等环节进行管理和监督，</w:t>
      </w:r>
      <w:r>
        <w:rPr>
          <w:rStyle w:val="19"/>
          <w:rFonts w:hint="eastAsia" w:ascii="仿宋" w:hAnsi="仿宋" w:eastAsia="仿宋" w:cs="仿宋"/>
          <w:b w:val="0"/>
          <w:spacing w:val="-4"/>
          <w:sz w:val="32"/>
          <w:szCs w:val="32"/>
        </w:rPr>
        <w:t>接受财政、审计等部门的监督检查。</w:t>
      </w:r>
    </w:p>
    <w:p>
      <w:pPr>
        <w:spacing w:line="540" w:lineRule="exact"/>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16"/>
        <w:widowControl/>
        <w:spacing w:line="580" w:lineRule="atLeast"/>
        <w:ind w:firstLine="420"/>
        <w:jc w:val="left"/>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1. 项目的经济性分析</w:t>
      </w:r>
    </w:p>
    <w:p>
      <w:pPr>
        <w:spacing w:line="500" w:lineRule="exact"/>
        <w:ind w:firstLine="640" w:firstLineChars="200"/>
        <w:rPr>
          <w:rFonts w:hint="eastAsia" w:ascii="仿宋" w:hAnsi="仿宋" w:eastAsia="仿宋" w:cs="仿宋"/>
          <w:b w:val="0"/>
          <w:bCs w:val="0"/>
          <w:sz w:val="32"/>
          <w:szCs w:val="32"/>
          <w:lang w:eastAsia="zh-CN"/>
        </w:rPr>
      </w:pPr>
      <w:r>
        <w:rPr>
          <w:rFonts w:hint="eastAsia" w:ascii="仿宋" w:hAnsi="仿宋" w:eastAsia="仿宋" w:cs="仿宋"/>
          <w:color w:val="333333"/>
          <w:sz w:val="32"/>
          <w:szCs w:val="32"/>
          <w:shd w:val="clear" w:color="auto" w:fill="FFFFFF"/>
        </w:rPr>
        <w:t>（1）项目成本（预算）控制情况：</w:t>
      </w:r>
      <w:r>
        <w:rPr>
          <w:rFonts w:hint="eastAsia" w:ascii="仿宋" w:hAnsi="仿宋" w:eastAsia="仿宋" w:cs="仿宋"/>
          <w:b w:val="0"/>
          <w:bCs w:val="0"/>
          <w:color w:val="auto"/>
          <w:kern w:val="0"/>
          <w:sz w:val="32"/>
          <w:szCs w:val="32"/>
          <w:highlight w:val="none"/>
        </w:rPr>
        <w:t>坎尔孜乡东坎尔孜村文化活动中心</w:t>
      </w:r>
      <w:r>
        <w:rPr>
          <w:rFonts w:hint="eastAsia" w:ascii="仿宋" w:hAnsi="仿宋" w:eastAsia="仿宋" w:cs="仿宋"/>
          <w:b w:val="0"/>
          <w:bCs w:val="0"/>
          <w:color w:val="333333"/>
          <w:sz w:val="32"/>
          <w:szCs w:val="32"/>
          <w:shd w:val="clear" w:color="auto" w:fill="FFFFFF"/>
        </w:rPr>
        <w:t>项目预算</w:t>
      </w:r>
      <w:r>
        <w:rPr>
          <w:rFonts w:hint="eastAsia" w:ascii="仿宋" w:hAnsi="仿宋" w:eastAsia="仿宋" w:cs="仿宋"/>
          <w:b w:val="0"/>
          <w:bCs w:val="0"/>
          <w:color w:val="333333"/>
          <w:sz w:val="32"/>
          <w:szCs w:val="32"/>
          <w:shd w:val="clear" w:color="auto" w:fill="FFFFFF"/>
          <w:lang w:val="en-US" w:eastAsia="zh-CN"/>
        </w:rPr>
        <w:t>109.6</w:t>
      </w:r>
      <w:r>
        <w:rPr>
          <w:rFonts w:hint="eastAsia" w:ascii="仿宋" w:hAnsi="仿宋" w:eastAsia="仿宋" w:cs="仿宋"/>
          <w:b w:val="0"/>
          <w:bCs w:val="0"/>
          <w:color w:val="333333"/>
          <w:sz w:val="32"/>
          <w:szCs w:val="32"/>
          <w:shd w:val="clear" w:color="auto" w:fill="FFFFFF"/>
        </w:rPr>
        <w:t>万元，具体</w:t>
      </w:r>
      <w:r>
        <w:rPr>
          <w:rFonts w:hint="eastAsia" w:ascii="仿宋" w:hAnsi="仿宋" w:eastAsia="仿宋" w:cs="仿宋"/>
          <w:b w:val="0"/>
          <w:bCs w:val="0"/>
          <w:color w:val="333333"/>
          <w:sz w:val="32"/>
          <w:szCs w:val="32"/>
          <w:shd w:val="clear" w:color="auto" w:fill="FFFFFF"/>
          <w:lang w:eastAsia="zh-CN"/>
        </w:rPr>
        <w:t>项目工程款</w:t>
      </w:r>
      <w:r>
        <w:rPr>
          <w:rFonts w:hint="eastAsia" w:ascii="仿宋" w:hAnsi="仿宋" w:eastAsia="仿宋" w:cs="仿宋"/>
          <w:b w:val="0"/>
          <w:bCs w:val="0"/>
          <w:color w:val="333333"/>
          <w:sz w:val="32"/>
          <w:szCs w:val="32"/>
          <w:shd w:val="clear" w:color="auto" w:fill="FFFFFF"/>
          <w:lang w:val="en-US" w:eastAsia="zh-CN"/>
        </w:rPr>
        <w:t>109.6</w:t>
      </w:r>
      <w:r>
        <w:rPr>
          <w:rFonts w:hint="eastAsia" w:ascii="仿宋" w:hAnsi="仿宋" w:eastAsia="仿宋" w:cs="仿宋"/>
          <w:b w:val="0"/>
          <w:bCs w:val="0"/>
          <w:sz w:val="32"/>
          <w:szCs w:val="32"/>
        </w:rPr>
        <w:t>万元</w:t>
      </w:r>
      <w:r>
        <w:rPr>
          <w:rFonts w:hint="eastAsia" w:ascii="仿宋" w:hAnsi="仿宋" w:eastAsia="仿宋" w:cs="仿宋"/>
          <w:b w:val="0"/>
          <w:bCs w:val="0"/>
          <w:sz w:val="32"/>
          <w:szCs w:val="32"/>
          <w:lang w:eastAsia="zh-CN"/>
        </w:rPr>
        <w:t>。</w:t>
      </w:r>
    </w:p>
    <w:p>
      <w:pPr>
        <w:spacing w:line="500" w:lineRule="exact"/>
        <w:ind w:firstLine="640" w:firstLineChars="200"/>
        <w:rPr>
          <w:rFonts w:hint="eastAsia" w:ascii="仿宋" w:hAnsi="仿宋" w:eastAsia="仿宋" w:cs="仿宋"/>
          <w:sz w:val="32"/>
          <w:szCs w:val="32"/>
          <w:lang w:eastAsia="zh-CN"/>
        </w:rPr>
      </w:pPr>
    </w:p>
    <w:p>
      <w:pPr>
        <w:spacing w:line="500" w:lineRule="exact"/>
        <w:ind w:firstLine="640" w:firstLineChars="200"/>
        <w:rPr>
          <w:rFonts w:hint="eastAsia" w:ascii="仿宋" w:hAnsi="仿宋" w:eastAsia="仿宋" w:cs="仿宋"/>
          <w:sz w:val="32"/>
          <w:szCs w:val="32"/>
          <w:lang w:eastAsia="zh-CN"/>
        </w:rPr>
      </w:pPr>
    </w:p>
    <w:p>
      <w:pPr>
        <w:spacing w:line="500" w:lineRule="exact"/>
        <w:ind w:firstLine="640" w:firstLineChars="200"/>
        <w:rPr>
          <w:rFonts w:hint="eastAsia" w:ascii="仿宋" w:hAnsi="仿宋" w:eastAsia="仿宋" w:cs="仿宋"/>
          <w:sz w:val="32"/>
          <w:szCs w:val="32"/>
          <w:lang w:eastAsia="zh-CN"/>
        </w:rPr>
      </w:pP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（2）项目成本（预算）节约情况</w:t>
      </w:r>
    </w:p>
    <w:tbl>
      <w:tblPr>
        <w:tblStyle w:val="21"/>
        <w:tblW w:w="7960" w:type="dxa"/>
        <w:tblInd w:w="0" w:type="dxa"/>
        <w:tblLayout w:type="fixed"/>
        <w:tblCellMar>
          <w:top w:w="0" w:type="dxa"/>
          <w:left w:w="0" w:type="dxa"/>
          <w:bottom w:w="0" w:type="dxa"/>
          <w:right w:w="0" w:type="dxa"/>
        </w:tblCellMar>
      </w:tblPr>
      <w:tblGrid>
        <w:gridCol w:w="720"/>
        <w:gridCol w:w="1880"/>
        <w:gridCol w:w="1360"/>
        <w:gridCol w:w="1660"/>
        <w:gridCol w:w="1260"/>
        <w:gridCol w:w="1080"/>
      </w:tblGrid>
      <w:tr>
        <w:tblPrEx>
          <w:tblLayout w:type="fixed"/>
          <w:tblCellMar>
            <w:top w:w="0" w:type="dxa"/>
            <w:left w:w="0" w:type="dxa"/>
            <w:bottom w:w="0" w:type="dxa"/>
            <w:right w:w="0" w:type="dxa"/>
          </w:tblCellMar>
        </w:tblPrEx>
        <w:trPr>
          <w:trHeight w:val="585" w:hRule="atLeast"/>
        </w:trPr>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序号</w:t>
            </w:r>
          </w:p>
        </w:tc>
        <w:tc>
          <w:tcPr>
            <w:tcW w:w="18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子项目</w:t>
            </w:r>
          </w:p>
        </w:tc>
        <w:tc>
          <w:tcPr>
            <w:tcW w:w="13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预算金额（万元）</w:t>
            </w:r>
          </w:p>
        </w:tc>
        <w:tc>
          <w:tcPr>
            <w:tcW w:w="16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实际支出金额（万元）</w:t>
            </w:r>
          </w:p>
        </w:tc>
        <w:tc>
          <w:tcPr>
            <w:tcW w:w="12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节约金额</w:t>
            </w:r>
          </w:p>
        </w:tc>
        <w:tc>
          <w:tcPr>
            <w:tcW w:w="10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节约率</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rPr>
              <w:t>1</w:t>
            </w:r>
          </w:p>
        </w:tc>
        <w:tc>
          <w:tcPr>
            <w:tcW w:w="18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lang w:eastAsia="zh-CN"/>
              </w:rPr>
            </w:pPr>
            <w:r>
              <w:rPr>
                <w:rFonts w:hint="eastAsia" w:ascii="仿宋" w:hAnsi="仿宋" w:eastAsia="仿宋" w:cs="仿宋"/>
                <w:kern w:val="0"/>
                <w:sz w:val="32"/>
                <w:szCs w:val="32"/>
                <w:lang w:eastAsia="zh-CN"/>
              </w:rPr>
              <w:t>工程款</w:t>
            </w:r>
          </w:p>
        </w:tc>
        <w:tc>
          <w:tcPr>
            <w:tcW w:w="13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 w:val="32"/>
                <w:szCs w:val="32"/>
                <w:lang w:eastAsia="zh-CN"/>
              </w:rPr>
            </w:pPr>
            <w:r>
              <w:rPr>
                <w:rFonts w:hint="eastAsia" w:ascii="仿宋" w:hAnsi="仿宋" w:eastAsia="仿宋" w:cs="仿宋"/>
                <w:kern w:val="0"/>
                <w:sz w:val="32"/>
                <w:szCs w:val="32"/>
                <w:lang w:val="en-US" w:eastAsia="zh-CN"/>
              </w:rPr>
              <w:t>109.6</w:t>
            </w:r>
          </w:p>
        </w:tc>
        <w:tc>
          <w:tcPr>
            <w:tcW w:w="16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 w:val="32"/>
                <w:szCs w:val="32"/>
                <w:lang w:eastAsia="zh-CN"/>
              </w:rPr>
            </w:pPr>
            <w:r>
              <w:rPr>
                <w:rFonts w:hint="eastAsia" w:ascii="仿宋" w:hAnsi="仿宋" w:eastAsia="仿宋" w:cs="仿宋"/>
                <w:kern w:val="0"/>
                <w:sz w:val="32"/>
                <w:szCs w:val="32"/>
                <w:lang w:val="en-US" w:eastAsia="zh-CN"/>
              </w:rPr>
              <w:t>109.6</w:t>
            </w:r>
          </w:p>
        </w:tc>
        <w:tc>
          <w:tcPr>
            <w:tcW w:w="12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0</w:t>
            </w:r>
          </w:p>
        </w:tc>
        <w:tc>
          <w:tcPr>
            <w:tcW w:w="10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　</w:t>
            </w:r>
          </w:p>
        </w:tc>
        <w:tc>
          <w:tcPr>
            <w:tcW w:w="18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textAlignment w:val="center"/>
              <w:rPr>
                <w:rFonts w:hint="eastAsia" w:ascii="仿宋" w:hAnsi="仿宋" w:eastAsia="仿宋" w:cs="仿宋"/>
                <w:sz w:val="32"/>
                <w:szCs w:val="32"/>
              </w:rPr>
            </w:pPr>
            <w:r>
              <w:rPr>
                <w:rFonts w:hint="eastAsia" w:ascii="仿宋" w:hAnsi="仿宋" w:eastAsia="仿宋" w:cs="仿宋"/>
                <w:kern w:val="0"/>
                <w:sz w:val="32"/>
                <w:szCs w:val="32"/>
              </w:rPr>
              <w:t>合</w:t>
            </w:r>
            <w:r>
              <w:rPr>
                <w:rStyle w:val="48"/>
                <w:rFonts w:hint="eastAsia" w:ascii="仿宋" w:hAnsi="仿宋" w:eastAsia="仿宋" w:cs="仿宋"/>
                <w:sz w:val="32"/>
                <w:szCs w:val="32"/>
              </w:rPr>
              <w:t>计</w:t>
            </w:r>
          </w:p>
        </w:tc>
        <w:tc>
          <w:tcPr>
            <w:tcW w:w="13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val="en-US" w:eastAsia="zh-CN"/>
              </w:rPr>
              <w:t>109.6</w:t>
            </w:r>
          </w:p>
        </w:tc>
        <w:tc>
          <w:tcPr>
            <w:tcW w:w="16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 w:val="32"/>
                <w:szCs w:val="32"/>
              </w:rPr>
            </w:pPr>
            <w:r>
              <w:rPr>
                <w:rFonts w:hint="eastAsia" w:ascii="仿宋" w:hAnsi="仿宋" w:eastAsia="仿宋" w:cs="仿宋"/>
                <w:kern w:val="0"/>
                <w:sz w:val="32"/>
                <w:szCs w:val="32"/>
                <w:lang w:val="en-US" w:eastAsia="zh-CN"/>
              </w:rPr>
              <w:t>109.6</w:t>
            </w:r>
          </w:p>
        </w:tc>
        <w:tc>
          <w:tcPr>
            <w:tcW w:w="12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0</w:t>
            </w:r>
          </w:p>
        </w:tc>
        <w:tc>
          <w:tcPr>
            <w:tcW w:w="10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sz w:val="32"/>
                <w:szCs w:val="32"/>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tc>
      </w:tr>
    </w:tbl>
    <w:p>
      <w:pPr>
        <w:spacing w:line="540" w:lineRule="exact"/>
        <w:ind w:firstLine="579" w:firstLineChars="181"/>
        <w:rPr>
          <w:rStyle w:val="19"/>
          <w:rFonts w:hint="eastAsia" w:ascii="仿宋" w:hAnsi="仿宋" w:eastAsia="仿宋" w:cs="仿宋"/>
          <w:b w:val="0"/>
          <w:spacing w:val="-4"/>
          <w:sz w:val="32"/>
          <w:szCs w:val="32"/>
          <w:highlight w:val="yellow"/>
        </w:rPr>
      </w:pPr>
      <w:r>
        <w:rPr>
          <w:rFonts w:hint="eastAsia" w:ascii="仿宋" w:hAnsi="仿宋" w:eastAsia="仿宋" w:cs="仿宋"/>
          <w:color w:val="333333"/>
          <w:sz w:val="32"/>
          <w:szCs w:val="32"/>
          <w:shd w:val="clear" w:color="auto" w:fill="FFFFFF"/>
        </w:rPr>
        <w:t>2. 项目的效率性分析注：项目资金支出</w:t>
      </w:r>
      <w:r>
        <w:rPr>
          <w:rFonts w:hint="eastAsia" w:ascii="仿宋" w:hAnsi="仿宋" w:eastAsia="仿宋" w:cs="仿宋"/>
          <w:color w:val="333333"/>
          <w:sz w:val="32"/>
          <w:szCs w:val="32"/>
          <w:shd w:val="clear" w:color="auto" w:fill="FFFFFF"/>
          <w:lang w:eastAsia="zh-CN"/>
        </w:rPr>
        <w:t>用于工程款</w:t>
      </w:r>
    </w:p>
    <w:p>
      <w:pPr>
        <w:pStyle w:val="16"/>
        <w:widowControl/>
        <w:spacing w:line="580" w:lineRule="atLeast"/>
        <w:ind w:firstLine="420"/>
        <w:jc w:val="left"/>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3. 项目的效益性分析</w:t>
      </w:r>
    </w:p>
    <w:p>
      <w:pPr>
        <w:pStyle w:val="16"/>
        <w:widowControl/>
        <w:spacing w:line="580" w:lineRule="atLeast"/>
        <w:ind w:firstLine="420"/>
        <w:jc w:val="left"/>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（1）项目预期目标完成程度：</w:t>
      </w:r>
      <w:r>
        <w:rPr>
          <w:rFonts w:hint="eastAsia" w:ascii="仿宋" w:hAnsi="仿宋" w:eastAsia="仿宋" w:cs="仿宋"/>
          <w:b w:val="0"/>
          <w:bCs w:val="0"/>
          <w:color w:val="auto"/>
          <w:kern w:val="0"/>
          <w:sz w:val="32"/>
          <w:szCs w:val="32"/>
          <w:highlight w:val="none"/>
        </w:rPr>
        <w:t>坎尔孜乡东坎尔孜村文化活动中心</w:t>
      </w:r>
      <w:r>
        <w:rPr>
          <w:rFonts w:hint="eastAsia" w:ascii="仿宋" w:hAnsi="仿宋" w:eastAsia="仿宋" w:cs="仿宋"/>
          <w:color w:val="333333"/>
          <w:sz w:val="32"/>
          <w:szCs w:val="32"/>
          <w:shd w:val="clear" w:color="auto" w:fill="FFFFFF"/>
        </w:rPr>
        <w:t>项目按预期目标均已完成。</w:t>
      </w:r>
    </w:p>
    <w:p>
      <w:pPr>
        <w:pStyle w:val="16"/>
        <w:widowControl/>
        <w:spacing w:line="580" w:lineRule="atLeast"/>
        <w:ind w:firstLine="420"/>
        <w:jc w:val="left"/>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（2）项目实施对经济和社会的影响</w:t>
      </w:r>
    </w:p>
    <w:p>
      <w:pPr>
        <w:pStyle w:val="16"/>
        <w:widowControl/>
        <w:spacing w:line="580" w:lineRule="atLeast"/>
        <w:ind w:firstLine="42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lang w:eastAsia="zh-CN"/>
        </w:rPr>
        <w:t>能</w:t>
      </w:r>
      <w:r>
        <w:rPr>
          <w:rFonts w:hint="eastAsia" w:ascii="仿宋" w:hAnsi="仿宋" w:eastAsia="仿宋" w:cs="仿宋"/>
          <w:color w:val="333333"/>
          <w:sz w:val="32"/>
          <w:szCs w:val="32"/>
          <w:shd w:val="clear" w:color="auto" w:fill="FFFFFF"/>
        </w:rPr>
        <w:t>开展村级文化活动，丰富衣村群众文化生活，繁荣农村文化事业，推进我村文化事业发展，创建独具魅力的健康文明村，</w:t>
      </w:r>
    </w:p>
    <w:p>
      <w:pPr>
        <w:pStyle w:val="16"/>
        <w:widowControl/>
        <w:spacing w:line="580" w:lineRule="atLeast"/>
        <w:ind w:firstLine="420"/>
        <w:jc w:val="left"/>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4. 项目的可持续性分析</w:t>
      </w:r>
    </w:p>
    <w:p>
      <w:pPr>
        <w:pStyle w:val="16"/>
        <w:widowControl/>
        <w:spacing w:line="580" w:lineRule="atLeast"/>
        <w:ind w:firstLine="420"/>
        <w:jc w:val="left"/>
        <w:rPr>
          <w:rFonts w:hint="eastAsia" w:ascii="仿宋" w:hAnsi="仿宋" w:eastAsia="仿宋" w:cs="仿宋"/>
          <w:color w:val="333333"/>
          <w:sz w:val="32"/>
          <w:szCs w:val="32"/>
          <w:shd w:val="clear" w:color="auto" w:fill="FFFFFF"/>
        </w:rPr>
      </w:pPr>
      <w:r>
        <w:rPr>
          <w:rFonts w:hint="eastAsia" w:ascii="仿宋" w:hAnsi="仿宋" w:eastAsia="仿宋" w:cs="仿宋"/>
          <w:b w:val="0"/>
          <w:bCs w:val="0"/>
          <w:color w:val="auto"/>
          <w:kern w:val="0"/>
          <w:sz w:val="32"/>
          <w:szCs w:val="32"/>
          <w:highlight w:val="none"/>
        </w:rPr>
        <w:t>文化活动中心</w:t>
      </w:r>
      <w:r>
        <w:rPr>
          <w:rFonts w:hint="eastAsia" w:ascii="仿宋" w:hAnsi="仿宋" w:eastAsia="仿宋" w:cs="仿宋"/>
          <w:color w:val="333333"/>
          <w:sz w:val="32"/>
          <w:szCs w:val="32"/>
          <w:shd w:val="clear" w:color="auto" w:fill="FFFFFF"/>
        </w:rPr>
        <w:t>是服务单位，国家及地方财政每年均全额拨款,保障</w:t>
      </w:r>
      <w:r>
        <w:rPr>
          <w:rFonts w:hint="eastAsia" w:ascii="仿宋" w:hAnsi="仿宋" w:eastAsia="仿宋" w:cs="仿宋"/>
          <w:b w:val="0"/>
          <w:bCs w:val="0"/>
          <w:color w:val="auto"/>
          <w:kern w:val="0"/>
          <w:sz w:val="32"/>
          <w:szCs w:val="32"/>
          <w:highlight w:val="none"/>
        </w:rPr>
        <w:t>文化活动中心</w:t>
      </w:r>
      <w:r>
        <w:rPr>
          <w:rFonts w:hint="eastAsia" w:ascii="仿宋" w:hAnsi="仿宋" w:eastAsia="仿宋" w:cs="仿宋"/>
          <w:color w:val="333333"/>
          <w:sz w:val="32"/>
          <w:szCs w:val="32"/>
          <w:shd w:val="clear" w:color="auto" w:fill="FFFFFF"/>
          <w:lang w:eastAsia="zh-CN"/>
        </w:rPr>
        <w:t>公用经费</w:t>
      </w:r>
      <w:r>
        <w:rPr>
          <w:rFonts w:hint="eastAsia" w:ascii="仿宋" w:hAnsi="仿宋" w:eastAsia="仿宋" w:cs="仿宋"/>
          <w:color w:val="333333"/>
          <w:sz w:val="32"/>
          <w:szCs w:val="32"/>
          <w:shd w:val="clear" w:color="auto" w:fill="FFFFFF"/>
        </w:rPr>
        <w:t>的可持续性。</w:t>
      </w:r>
    </w:p>
    <w:p>
      <w:pPr>
        <w:pStyle w:val="16"/>
        <w:widowControl/>
        <w:spacing w:line="580" w:lineRule="atLeast"/>
        <w:ind w:firstLine="420"/>
        <w:jc w:val="left"/>
        <w:rPr>
          <w:rStyle w:val="19"/>
          <w:rFonts w:hint="eastAsia" w:ascii="仿宋" w:hAnsi="仿宋" w:eastAsia="仿宋" w:cs="仿宋"/>
          <w:b w:val="0"/>
          <w:spacing w:val="-4"/>
          <w:sz w:val="32"/>
          <w:szCs w:val="32"/>
          <w:highlight w:val="yellow"/>
        </w:rPr>
      </w:pPr>
      <w:r>
        <w:rPr>
          <w:rFonts w:hint="eastAsia" w:ascii="仿宋" w:hAnsi="仿宋" w:eastAsia="仿宋" w:cs="仿宋"/>
          <w:b/>
          <w:color w:val="333333"/>
          <w:sz w:val="32"/>
          <w:szCs w:val="32"/>
          <w:shd w:val="clear" w:color="auto" w:fill="FFFFFF"/>
        </w:rPr>
        <w:t>5、</w:t>
      </w:r>
      <w:r>
        <w:rPr>
          <w:rFonts w:hint="eastAsia" w:ascii="仿宋" w:hAnsi="仿宋" w:eastAsia="仿宋" w:cs="仿宋"/>
          <w:b/>
          <w:color w:val="333333"/>
          <w:sz w:val="32"/>
          <w:szCs w:val="32"/>
          <w:shd w:val="clear" w:color="auto" w:fill="FFFFFF"/>
        </w:rPr>
        <w:t>群众满意度（服务量、服务设施、服务质量）：</w:t>
      </w:r>
      <w:r>
        <w:rPr>
          <w:rFonts w:hint="eastAsia" w:ascii="仿宋" w:hAnsi="仿宋" w:eastAsia="仿宋" w:cs="仿宋"/>
          <w:color w:val="333333"/>
          <w:sz w:val="32"/>
          <w:szCs w:val="32"/>
          <w:shd w:val="clear" w:color="auto" w:fill="FFFFFF"/>
        </w:rPr>
        <w:t>绩效目标为群众满意度96分以上，本次满意度调查问卷收回100份</w:t>
      </w:r>
      <w:r>
        <w:rPr>
          <w:rFonts w:hint="eastAsia" w:ascii="仿宋" w:hAnsi="仿宋" w:eastAsia="仿宋" w:cs="仿宋"/>
          <w:color w:val="333333"/>
          <w:sz w:val="32"/>
          <w:szCs w:val="32"/>
          <w:shd w:val="clear" w:color="auto" w:fill="FFFFFF"/>
          <w:lang w:eastAsia="zh-CN"/>
        </w:rPr>
        <w:t>。</w:t>
      </w:r>
    </w:p>
    <w:p>
      <w:pPr>
        <w:numPr>
          <w:ilvl w:val="0"/>
          <w:numId w:val="1"/>
        </w:num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项目绩效目标未完成原因分析</w:t>
      </w:r>
    </w:p>
    <w:p>
      <w:pPr>
        <w:spacing w:line="540" w:lineRule="exact"/>
        <w:ind w:left="380" w:leftChars="181"/>
        <w:rPr>
          <w:rFonts w:hint="eastAsia" w:ascii="仿宋" w:hAnsi="仿宋" w:eastAsia="仿宋" w:cs="仿宋"/>
          <w:b/>
          <w:spacing w:val="-4"/>
          <w:sz w:val="32"/>
          <w:szCs w:val="32"/>
        </w:rPr>
      </w:pPr>
      <w:r>
        <w:rPr>
          <w:rFonts w:hint="eastAsia" w:ascii="仿宋" w:hAnsi="仿宋" w:eastAsia="仿宋" w:cs="仿宋"/>
          <w:color w:val="333333"/>
          <w:sz w:val="32"/>
          <w:szCs w:val="32"/>
          <w:shd w:val="clear" w:color="auto" w:fill="FFFFFF"/>
        </w:rPr>
        <w:t>201</w:t>
      </w:r>
      <w:r>
        <w:rPr>
          <w:rFonts w:hint="eastAsia" w:ascii="仿宋" w:hAnsi="仿宋" w:eastAsia="仿宋" w:cs="仿宋"/>
          <w:color w:val="333333"/>
          <w:sz w:val="32"/>
          <w:szCs w:val="32"/>
          <w:shd w:val="clear" w:color="auto" w:fill="FFFFFF"/>
          <w:lang w:val="en-US" w:eastAsia="zh-CN"/>
        </w:rPr>
        <w:t>4</w:t>
      </w:r>
      <w:r>
        <w:rPr>
          <w:rFonts w:hint="eastAsia" w:ascii="仿宋" w:hAnsi="仿宋" w:eastAsia="仿宋" w:cs="仿宋"/>
          <w:color w:val="333333"/>
          <w:sz w:val="32"/>
          <w:szCs w:val="32"/>
          <w:shd w:val="clear" w:color="auto" w:fill="FFFFFF"/>
        </w:rPr>
        <w:t>年项目绩效目标已完成。</w:t>
      </w:r>
    </w:p>
    <w:p>
      <w:pPr>
        <w:spacing w:line="540" w:lineRule="exact"/>
        <w:rPr>
          <w:rFonts w:hint="eastAsia" w:ascii="仿宋" w:hAnsi="仿宋" w:eastAsia="仿宋" w:cs="仿宋"/>
          <w:b/>
          <w:spacing w:val="-4"/>
          <w:sz w:val="32"/>
          <w:szCs w:val="32"/>
        </w:rPr>
      </w:pPr>
    </w:p>
    <w:p>
      <w:pPr>
        <w:spacing w:line="540" w:lineRule="exact"/>
        <w:rPr>
          <w:rFonts w:hint="eastAsia" w:ascii="仿宋" w:hAnsi="仿宋" w:eastAsia="仿宋" w:cs="仿宋"/>
          <w:b/>
          <w:spacing w:val="-4"/>
          <w:sz w:val="32"/>
          <w:szCs w:val="32"/>
        </w:rPr>
      </w:pP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Cs/>
          <w:spacing w:val="-4"/>
          <w:sz w:val="32"/>
          <w:szCs w:val="32"/>
        </w:rPr>
      </w:pPr>
      <w:r>
        <w:rPr>
          <w:rFonts w:hint="eastAsia" w:ascii="楷体" w:hAnsi="楷体" w:eastAsia="楷体"/>
          <w:bCs/>
          <w:spacing w:val="-4"/>
          <w:sz w:val="32"/>
          <w:szCs w:val="32"/>
        </w:rPr>
        <w:t>继续做好</w:t>
      </w:r>
      <w:r>
        <w:rPr>
          <w:rFonts w:hint="eastAsia" w:ascii="宋体" w:hAnsi="宋体" w:eastAsia="宋体" w:cs="宋体"/>
          <w:b w:val="0"/>
          <w:bCs w:val="0"/>
          <w:color w:val="auto"/>
          <w:kern w:val="0"/>
          <w:sz w:val="28"/>
          <w:szCs w:val="28"/>
          <w:highlight w:val="none"/>
        </w:rPr>
        <w:t>文化活动中心</w:t>
      </w:r>
      <w:r>
        <w:rPr>
          <w:rFonts w:hint="eastAsia" w:ascii="楷体" w:hAnsi="楷体" w:eastAsia="楷体"/>
          <w:bCs/>
          <w:spacing w:val="-4"/>
          <w:sz w:val="32"/>
          <w:szCs w:val="32"/>
        </w:rPr>
        <w:t>各项工作。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16"/>
        <w:widowControl/>
        <w:spacing w:line="580" w:lineRule="atLeast"/>
        <w:ind w:firstLine="420"/>
        <w:jc w:val="left"/>
        <w:rPr>
          <w:rFonts w:ascii="仿宋" w:hAnsi="仿宋" w:eastAsia="仿宋" w:cs="仿宋"/>
          <w:color w:val="auto"/>
          <w:sz w:val="32"/>
          <w:szCs w:val="32"/>
          <w:shd w:val="clear" w:color="auto" w:fill="FFFFFF"/>
        </w:rPr>
      </w:pPr>
      <w:r>
        <w:rPr>
          <w:rFonts w:hint="eastAsia" w:ascii="仿宋" w:hAnsi="仿宋" w:eastAsia="仿宋" w:cs="仿宋"/>
          <w:color w:val="333333"/>
          <w:sz w:val="32"/>
          <w:szCs w:val="32"/>
          <w:shd w:val="clear" w:color="auto" w:fill="FFFFFF"/>
        </w:rPr>
        <w:t>201</w:t>
      </w:r>
      <w:r>
        <w:rPr>
          <w:rFonts w:hint="eastAsia" w:ascii="仿宋" w:hAnsi="仿宋" w:eastAsia="仿宋" w:cs="仿宋"/>
          <w:color w:val="333333"/>
          <w:sz w:val="32"/>
          <w:szCs w:val="32"/>
          <w:shd w:val="clear" w:color="auto" w:fill="FFFFFF"/>
          <w:lang w:val="en-US" w:eastAsia="zh-CN"/>
        </w:rPr>
        <w:t>4</w:t>
      </w:r>
      <w:r>
        <w:rPr>
          <w:rFonts w:hint="eastAsia" w:ascii="仿宋" w:hAnsi="仿宋" w:eastAsia="仿宋" w:cs="仿宋"/>
          <w:color w:val="333333"/>
          <w:sz w:val="32"/>
          <w:szCs w:val="32"/>
          <w:shd w:val="clear" w:color="auto" w:fill="FFFFFF"/>
        </w:rPr>
        <w:t>年本村新建村級综合文化活动中心和一个文化广场。新建成的村级文化活动中心和文化广场要功能完备、设施完善、队伍整齐管理有序，能完全满足农村群众开展各类文化活</w:t>
      </w:r>
      <w:r>
        <w:rPr>
          <w:rFonts w:hint="eastAsia" w:ascii="仿宋" w:hAnsi="仿宋" w:eastAsia="仿宋" w:cs="仿宋"/>
          <w:color w:val="auto"/>
          <w:sz w:val="32"/>
          <w:szCs w:val="32"/>
          <w:shd w:val="clear" w:color="auto" w:fill="FFFFFF"/>
        </w:rPr>
        <w:t>动薷要，达到市、区级先进文化活动示范基地</w:t>
      </w:r>
      <w:r>
        <w:rPr>
          <w:rFonts w:hint="eastAsia" w:ascii="仿宋" w:hAnsi="仿宋" w:eastAsia="仿宋" w:cs="仿宋"/>
          <w:color w:val="auto"/>
          <w:sz w:val="32"/>
          <w:szCs w:val="32"/>
          <w:shd w:val="clear" w:color="auto" w:fill="FFFFFF"/>
          <w:lang w:eastAsia="zh-CN"/>
        </w:rPr>
        <w:t>。</w:t>
      </w:r>
    </w:p>
    <w:p>
      <w:pPr>
        <w:pStyle w:val="16"/>
        <w:widowControl/>
        <w:spacing w:line="580" w:lineRule="atLeast"/>
        <w:ind w:firstLine="420"/>
        <w:jc w:val="left"/>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(三)存在问题</w:t>
      </w:r>
    </w:p>
    <w:p>
      <w:pPr>
        <w:pStyle w:val="16"/>
        <w:widowControl/>
        <w:spacing w:line="580" w:lineRule="atLeast"/>
        <w:ind w:firstLine="320" w:firstLineChars="100"/>
        <w:jc w:val="left"/>
        <w:rPr>
          <w:rFonts w:hint="eastAsia" w:ascii="仿宋" w:hAnsi="仿宋" w:eastAsia="仿宋" w:cs="仿宋"/>
          <w:color w:val="333333"/>
          <w:sz w:val="32"/>
          <w:szCs w:val="32"/>
          <w:shd w:val="clear" w:color="auto" w:fill="FFFFFF"/>
        </w:rPr>
      </w:pPr>
      <w:r>
        <w:rPr>
          <w:rFonts w:hint="eastAsia" w:ascii="仿宋" w:hAnsi="仿宋" w:eastAsia="仿宋" w:cs="仿宋"/>
          <w:color w:val="auto"/>
          <w:sz w:val="32"/>
          <w:szCs w:val="32"/>
          <w:shd w:val="clear" w:color="auto" w:fill="FFFFFF"/>
        </w:rPr>
        <w:t xml:space="preserve"> </w:t>
      </w:r>
      <w:r>
        <w:rPr>
          <w:rFonts w:hint="eastAsia" w:ascii="仿宋" w:hAnsi="仿宋" w:eastAsia="仿宋" w:cs="仿宋"/>
          <w:i w:val="0"/>
          <w:caps w:val="0"/>
          <w:color w:val="auto"/>
          <w:spacing w:val="0"/>
          <w:sz w:val="32"/>
          <w:szCs w:val="32"/>
        </w:rPr>
        <w:t>（一）认识不到位。村一级干部对文化建设缺乏必要的认识，认为文化建设是上面的事，是上级党委、政府的事，农民本身文化不高，没有必要多花吃力不讨好的冤枉钱。这种思想观念直接导致了农村文化建设经费投入不足，极大影响了农村文化阵地的建设和发展，致使部分村文化阵地难巩固、队伍难稳定、活动难开展。 </w:t>
      </w:r>
      <w:r>
        <w:rPr>
          <w:rFonts w:hint="eastAsia" w:ascii="仿宋" w:hAnsi="仿宋" w:eastAsia="仿宋" w:cs="仿宋"/>
          <w:i w:val="0"/>
          <w:caps w:val="0"/>
          <w:color w:val="auto"/>
          <w:spacing w:val="0"/>
          <w:sz w:val="32"/>
          <w:szCs w:val="32"/>
        </w:rPr>
        <w:br w:type="textWrapping"/>
      </w:r>
      <w:r>
        <w:rPr>
          <w:rFonts w:hint="eastAsia" w:ascii="仿宋" w:hAnsi="仿宋" w:eastAsia="仿宋" w:cs="仿宋"/>
          <w:i w:val="0"/>
          <w:caps w:val="0"/>
          <w:color w:val="auto"/>
          <w:spacing w:val="0"/>
          <w:sz w:val="32"/>
          <w:szCs w:val="32"/>
        </w:rPr>
        <w:t>　　（二）机会不均等，起点有差异。农村的文化建设长期得不到重视，属于公共文化建设的薄弱地区，有的村甚至找不出一块供群众进行文化活动的场地。各片区之间公共文化建设也不平衡。现在按要求各村都建有文化室和农民业余文化组织，但从真正实行免费开放、开展活动的实效却不容乐观。</w:t>
      </w:r>
      <w:r>
        <w:rPr>
          <w:rFonts w:hint="eastAsia" w:ascii="仿宋" w:hAnsi="仿宋" w:eastAsia="仿宋" w:cs="仿宋"/>
          <w:i w:val="0"/>
          <w:caps w:val="0"/>
          <w:color w:val="808080"/>
          <w:spacing w:val="0"/>
          <w:sz w:val="32"/>
          <w:szCs w:val="32"/>
        </w:rPr>
        <w:t> </w:t>
      </w:r>
    </w:p>
    <w:p>
      <w:pPr>
        <w:pStyle w:val="16"/>
        <w:widowControl/>
        <w:spacing w:line="580" w:lineRule="atLeast"/>
        <w:ind w:firstLine="420"/>
        <w:jc w:val="left"/>
        <w:rPr>
          <w:rFonts w:hint="eastAsia" w:ascii="仿宋" w:hAnsi="仿宋" w:eastAsia="仿宋" w:cs="仿宋"/>
          <w:sz w:val="32"/>
          <w:szCs w:val="32"/>
        </w:rPr>
      </w:pPr>
      <w:r>
        <w:rPr>
          <w:rFonts w:hint="eastAsia" w:ascii="仿宋" w:hAnsi="仿宋" w:eastAsia="仿宋" w:cs="仿宋"/>
          <w:color w:val="333333"/>
          <w:sz w:val="32"/>
          <w:szCs w:val="32"/>
          <w:shd w:val="clear" w:color="auto" w:fill="FFFFFF"/>
        </w:rPr>
        <w:t>(四)建议</w:t>
      </w:r>
    </w:p>
    <w:p>
      <w:pPr>
        <w:pStyle w:val="16"/>
        <w:widowControl/>
        <w:spacing w:line="580" w:lineRule="atLeast"/>
        <w:ind w:firstLine="420"/>
        <w:jc w:val="left"/>
        <w:rPr>
          <w:rFonts w:hint="eastAsia" w:ascii="仿宋" w:hAnsi="仿宋" w:eastAsia="仿宋" w:cs="仿宋"/>
          <w:color w:val="auto"/>
          <w:sz w:val="32"/>
          <w:szCs w:val="32"/>
          <w:shd w:val="clear" w:color="auto" w:fill="FFFFFF"/>
        </w:rPr>
      </w:pPr>
      <w:r>
        <w:rPr>
          <w:rFonts w:hint="eastAsia" w:ascii="仿宋" w:hAnsi="仿宋" w:eastAsia="仿宋" w:cs="仿宋"/>
          <w:i w:val="0"/>
          <w:caps w:val="0"/>
          <w:color w:val="auto"/>
          <w:spacing w:val="0"/>
          <w:sz w:val="32"/>
          <w:szCs w:val="32"/>
        </w:rPr>
        <w:t>（一）提高思想认识，建立保障机制。（二）坚持管建并重，加强设施建设。</w:t>
      </w:r>
    </w:p>
    <w:p>
      <w:pPr>
        <w:pStyle w:val="16"/>
        <w:widowControl/>
        <w:spacing w:line="580" w:lineRule="atLeast"/>
        <w:ind w:firstLine="420"/>
        <w:jc w:val="left"/>
        <w:rPr>
          <w:rFonts w:hint="eastAsia" w:ascii="仿宋" w:hAnsi="仿宋" w:eastAsia="仿宋" w:cs="仿宋"/>
          <w:color w:val="auto"/>
          <w:sz w:val="32"/>
          <w:szCs w:val="32"/>
          <w:shd w:val="clear" w:color="auto" w:fill="FFFFFF"/>
        </w:rPr>
      </w:pPr>
      <w:r>
        <w:rPr>
          <w:rFonts w:hint="eastAsia" w:ascii="仿宋" w:hAnsi="仿宋" w:eastAsia="仿宋" w:cs="仿宋"/>
          <w:i w:val="0"/>
          <w:caps w:val="0"/>
          <w:color w:val="auto"/>
          <w:spacing w:val="0"/>
          <w:sz w:val="32"/>
          <w:szCs w:val="32"/>
        </w:rPr>
        <w:t>（三）设置有效载体，积极开展活动。</w:t>
      </w:r>
    </w:p>
    <w:p>
      <w:pPr>
        <w:pStyle w:val="16"/>
        <w:widowControl/>
        <w:spacing w:line="580" w:lineRule="atLeast"/>
        <w:ind w:firstLine="320" w:firstLineChars="100"/>
        <w:jc w:val="left"/>
        <w:rPr>
          <w:rFonts w:ascii="仿宋" w:hAnsi="仿宋" w:eastAsia="仿宋" w:cs="仿宋"/>
          <w:color w:val="333333"/>
          <w:sz w:val="32"/>
          <w:szCs w:val="32"/>
          <w:shd w:val="clear" w:color="auto" w:fill="FFFFFF"/>
        </w:rPr>
      </w:pPr>
    </w:p>
    <w:p>
      <w:pPr>
        <w:spacing w:line="540" w:lineRule="exact"/>
        <w:rPr>
          <w:rFonts w:ascii="楷体" w:hAnsi="楷体" w:eastAsia="楷体"/>
          <w:b/>
          <w:spacing w:val="-4"/>
          <w:sz w:val="32"/>
          <w:szCs w:val="32"/>
        </w:rPr>
      </w:pPr>
      <w:r>
        <w:rPr>
          <w:rFonts w:hint="eastAsia" w:ascii="楷体" w:hAnsi="楷体" w:eastAsia="楷体"/>
          <w:b/>
          <w:spacing w:val="-4"/>
          <w:sz w:val="32"/>
          <w:szCs w:val="32"/>
        </w:rPr>
        <w:t>（三）其他：无</w:t>
      </w:r>
    </w:p>
    <w:p>
      <w:pPr>
        <w:spacing w:line="540" w:lineRule="exact"/>
        <w:ind w:firstLine="567" w:firstLineChars="181"/>
        <w:rPr>
          <w:rFonts w:ascii="楷体" w:hAnsi="楷体" w:eastAsia="楷体"/>
          <w:b/>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hint="eastAsia" w:ascii="仿宋" w:hAnsi="仿宋" w:eastAsia="仿宋" w:cs="仿宋"/>
          <w:spacing w:val="-4"/>
          <w:sz w:val="32"/>
          <w:szCs w:val="32"/>
        </w:rPr>
      </w:pPr>
      <w:r>
        <w:rPr>
          <w:rFonts w:hint="eastAsia" w:ascii="仿宋" w:hAnsi="仿宋" w:eastAsia="仿宋" w:cs="仿宋"/>
          <w:spacing w:val="-4"/>
          <w:sz w:val="32"/>
          <w:szCs w:val="32"/>
        </w:rPr>
        <w:t>奇台县</w:t>
      </w:r>
      <w:r>
        <w:rPr>
          <w:rFonts w:hint="eastAsia" w:ascii="仿宋" w:hAnsi="仿宋" w:eastAsia="仿宋" w:cs="仿宋"/>
          <w:b w:val="0"/>
          <w:bCs w:val="0"/>
          <w:color w:val="auto"/>
          <w:kern w:val="0"/>
          <w:sz w:val="32"/>
          <w:szCs w:val="32"/>
          <w:highlight w:val="none"/>
        </w:rPr>
        <w:t>坎尔孜乡东坎尔孜村文化活动中心</w:t>
      </w:r>
      <w:r>
        <w:rPr>
          <w:rFonts w:hint="eastAsia" w:ascii="仿宋" w:hAnsi="仿宋" w:eastAsia="仿宋" w:cs="仿宋"/>
          <w:spacing w:val="-4"/>
          <w:sz w:val="32"/>
          <w:szCs w:val="32"/>
        </w:rPr>
        <w:t>在项目资金的收入支出以及在项目实施过程中的监督管理等工作，都能严格执行，按时完成项目评价工作</w:t>
      </w:r>
      <w:r>
        <w:rPr>
          <w:rFonts w:hint="eastAsia" w:ascii="仿宋" w:hAnsi="仿宋" w:eastAsia="仿宋" w:cs="仿宋"/>
          <w:spacing w:val="-4"/>
          <w:sz w:val="32"/>
          <w:szCs w:val="32"/>
          <w:lang w:val="en-US" w:eastAsia="zh-CN"/>
        </w:rPr>
        <w:t>.</w:t>
      </w:r>
    </w:p>
    <w:p>
      <w:pPr>
        <w:spacing w:line="540" w:lineRule="exact"/>
        <w:ind w:firstLine="64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七、附表</w:t>
      </w:r>
    </w:p>
    <w:p>
      <w:pPr>
        <w:spacing w:line="540" w:lineRule="exact"/>
        <w:ind w:firstLine="567"/>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《自治州财政项目支出绩效自评表》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21"/>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ind w:firstLine="560" w:firstLineChars="200"/>
              <w:rPr>
                <w:rFonts w:ascii="宋体" w:hAnsi="宋体" w:cs="宋体"/>
                <w:kern w:val="0"/>
                <w:sz w:val="30"/>
                <w:szCs w:val="30"/>
              </w:rPr>
            </w:pPr>
            <w:r>
              <w:rPr>
                <w:rFonts w:hint="eastAsia" w:ascii="宋体" w:hAnsi="宋体" w:eastAsia="宋体" w:cs="宋体"/>
                <w:b w:val="0"/>
                <w:bCs w:val="0"/>
                <w:color w:val="auto"/>
                <w:kern w:val="0"/>
                <w:sz w:val="28"/>
                <w:szCs w:val="28"/>
                <w:highlight w:val="none"/>
              </w:rPr>
              <w:t>坎尔孜乡东坎尔孜村文化活动中心</w:t>
            </w:r>
            <w:r>
              <w:rPr>
                <w:rFonts w:hint="eastAsia" w:ascii="宋体" w:hAnsi="宋体" w:cs="宋体"/>
                <w:kern w:val="0"/>
                <w:sz w:val="30"/>
                <w:szCs w:val="3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ind w:firstLine="900" w:firstLineChars="300"/>
              <w:rPr>
                <w:rFonts w:ascii="宋体" w:hAnsi="宋体" w:cs="宋体"/>
                <w:kern w:val="0"/>
                <w:sz w:val="30"/>
                <w:szCs w:val="30"/>
              </w:rPr>
            </w:pPr>
            <w:r>
              <w:rPr>
                <w:rFonts w:hint="eastAsia" w:ascii="仿宋" w:hAnsi="仿宋" w:eastAsia="仿宋" w:cs="仿宋"/>
                <w:kern w:val="0"/>
                <w:sz w:val="30"/>
                <w:szCs w:val="30"/>
                <w:lang w:eastAsia="zh-CN"/>
              </w:rPr>
              <w:t>奇台县坎尔孜乡人民政府</w:t>
            </w:r>
            <w:r>
              <w:rPr>
                <w:rFonts w:hint="eastAsia" w:ascii="仿宋" w:hAnsi="仿宋" w:eastAsia="仿宋" w:cs="仿宋"/>
                <w:kern w:val="0"/>
                <w:sz w:val="30"/>
                <w:szCs w:val="3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109.6</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109.6</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109.6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109.6</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p>
          <w:p>
            <w:pPr>
              <w:tabs>
                <w:tab w:val="left" w:pos="1038"/>
              </w:tabs>
              <w:jc w:val="left"/>
              <w:rPr>
                <w:rFonts w:ascii="宋体" w:hAnsi="宋体" w:cs="宋体"/>
                <w:kern w:val="0"/>
                <w:sz w:val="20"/>
                <w:szCs w:val="20"/>
              </w:rPr>
            </w:pPr>
            <w:r>
              <w:rPr>
                <w:rFonts w:hint="eastAsia" w:ascii="宋体" w:hAnsi="宋体" w:cs="宋体"/>
                <w:kern w:val="0"/>
                <w:sz w:val="20"/>
                <w:szCs w:val="20"/>
              </w:rPr>
              <w:t>201</w:t>
            </w:r>
            <w:r>
              <w:rPr>
                <w:rFonts w:hint="eastAsia" w:ascii="宋体" w:hAnsi="宋体" w:cs="宋体"/>
                <w:kern w:val="0"/>
                <w:sz w:val="20"/>
                <w:szCs w:val="20"/>
                <w:lang w:val="en-US" w:eastAsia="zh-CN"/>
              </w:rPr>
              <w:t>4</w:t>
            </w:r>
            <w:r>
              <w:rPr>
                <w:rFonts w:hint="eastAsia" w:ascii="宋体" w:hAnsi="宋体" w:cs="宋体"/>
                <w:kern w:val="0"/>
                <w:sz w:val="20"/>
                <w:szCs w:val="20"/>
              </w:rPr>
              <w:t>年完成坎尔孜乡东坎尔孜村文化活动中心</w:t>
            </w:r>
            <w:r>
              <w:rPr>
                <w:rFonts w:hint="eastAsia" w:ascii="宋体" w:hAnsi="宋体" w:cs="宋体"/>
                <w:kern w:val="0"/>
                <w:sz w:val="20"/>
                <w:szCs w:val="20"/>
                <w:lang w:eastAsia="zh-CN"/>
              </w:rPr>
              <w:t>建设</w:t>
            </w:r>
            <w:r>
              <w:rPr>
                <w:rFonts w:hint="eastAsia" w:ascii="宋体" w:hAnsi="宋体" w:cs="宋体"/>
                <w:kern w:val="0"/>
                <w:sz w:val="20"/>
                <w:szCs w:val="20"/>
              </w:rPr>
              <w:t>工作</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201</w:t>
            </w:r>
            <w:r>
              <w:rPr>
                <w:rFonts w:hint="eastAsia" w:ascii="宋体" w:hAnsi="宋体" w:cs="宋体"/>
                <w:kern w:val="0"/>
                <w:sz w:val="20"/>
                <w:szCs w:val="20"/>
                <w:lang w:val="en-US" w:eastAsia="zh-CN"/>
              </w:rPr>
              <w:t>4</w:t>
            </w:r>
            <w:r>
              <w:rPr>
                <w:rFonts w:hint="eastAsia" w:ascii="宋体" w:hAnsi="宋体" w:cs="宋体"/>
                <w:kern w:val="0"/>
                <w:sz w:val="20"/>
                <w:szCs w:val="20"/>
              </w:rPr>
              <w:t>年</w:t>
            </w:r>
            <w:r>
              <w:rPr>
                <w:rFonts w:hint="eastAsia" w:ascii="宋体" w:hAnsi="宋体" w:cs="宋体"/>
                <w:kern w:val="0"/>
                <w:sz w:val="20"/>
                <w:szCs w:val="20"/>
                <w:lang w:val="en-US" w:eastAsia="zh-CN"/>
              </w:rPr>
              <w:t>100%</w:t>
            </w:r>
            <w:r>
              <w:rPr>
                <w:rFonts w:hint="eastAsia" w:ascii="宋体" w:hAnsi="宋体" w:cs="宋体"/>
                <w:kern w:val="0"/>
                <w:sz w:val="20"/>
                <w:szCs w:val="20"/>
              </w:rPr>
              <w:t>完成坎尔孜乡东坎尔孜村文化活动中心</w:t>
            </w:r>
            <w:r>
              <w:rPr>
                <w:rFonts w:hint="eastAsia" w:ascii="宋体" w:hAnsi="宋体" w:cs="宋体"/>
                <w:kern w:val="0"/>
                <w:sz w:val="20"/>
                <w:szCs w:val="20"/>
                <w:lang w:eastAsia="zh-CN"/>
              </w:rPr>
              <w:t>建设</w:t>
            </w:r>
            <w:r>
              <w:rPr>
                <w:rFonts w:hint="eastAsia" w:ascii="宋体" w:hAnsi="宋体" w:cs="宋体"/>
                <w:kern w:val="0"/>
                <w:sz w:val="20"/>
                <w:szCs w:val="20"/>
              </w:rPr>
              <w:t>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100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文化活动中心</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按照合同要求时间限制内完成</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项目总支出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　</w:t>
            </w:r>
            <w:r>
              <w:rPr>
                <w:rFonts w:hint="eastAsia" w:ascii="宋体" w:hAnsi="宋体" w:cs="宋体"/>
                <w:kern w:val="0"/>
                <w:sz w:val="20"/>
                <w:szCs w:val="20"/>
                <w:lang w:val="en-US" w:eastAsia="zh-CN"/>
              </w:rPr>
              <w:t>109.6</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109.6</w:t>
            </w:r>
            <w:r>
              <w:rPr>
                <w:rFonts w:hint="eastAsia" w:ascii="宋体" w:hAnsi="宋体" w:cs="宋体"/>
                <w:kern w:val="0"/>
                <w:sz w:val="20"/>
                <w:szCs w:val="20"/>
              </w:rPr>
              <w:t>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多次开展文化活动</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w:t>
            </w:r>
            <w:r>
              <w:rPr>
                <w:rFonts w:hint="eastAsia" w:ascii="宋体" w:hAnsi="宋体" w:cs="宋体"/>
                <w:kern w:val="0"/>
                <w:sz w:val="20"/>
                <w:szCs w:val="20"/>
                <w:lang w:val="en-US" w:eastAsia="zh-CN"/>
              </w:rPr>
              <w:t>0.02</w:t>
            </w:r>
            <w:r>
              <w:rPr>
                <w:rFonts w:hint="eastAsia" w:ascii="宋体" w:hAnsi="宋体" w:cs="宋体"/>
                <w:kern w:val="0"/>
                <w:sz w:val="20"/>
                <w:szCs w:val="20"/>
              </w:rPr>
              <w:t>万人次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0.03</w:t>
            </w:r>
            <w:r>
              <w:rPr>
                <w:rFonts w:hint="eastAsia" w:ascii="宋体" w:hAnsi="宋体" w:cs="宋体"/>
                <w:kern w:val="0"/>
                <w:sz w:val="20"/>
                <w:szCs w:val="20"/>
              </w:rPr>
              <w:t>万人次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工程质量保证期</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25年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90%</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rif">
    <w:altName w:val="Latha"/>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Latha">
    <w:panose1 w:val="020B0604020202020204"/>
    <w:charset w:val="00"/>
    <w:family w:val="auto"/>
    <w:pitch w:val="default"/>
    <w:sig w:usb0="00100003" w:usb1="00000000" w:usb2="00000000" w:usb3="00000000" w:csb0="00000001" w:csb1="00000000"/>
  </w:font>
  <w:font w:name="Shruti">
    <w:panose1 w:val="020B0502040204020203"/>
    <w:charset w:val="00"/>
    <w:family w:val="auto"/>
    <w:pitch w:val="default"/>
    <w:sig w:usb0="0004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7C279"/>
    <w:multiLevelType w:val="singleLevel"/>
    <w:tmpl w:val="6027C2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6465"/>
    <w:rsid w:val="000B2063"/>
    <w:rsid w:val="00121AE4"/>
    <w:rsid w:val="00146AAD"/>
    <w:rsid w:val="00172A27"/>
    <w:rsid w:val="001B3A40"/>
    <w:rsid w:val="003C18BC"/>
    <w:rsid w:val="004366A8"/>
    <w:rsid w:val="00464900"/>
    <w:rsid w:val="00502BA7"/>
    <w:rsid w:val="005162F1"/>
    <w:rsid w:val="00535153"/>
    <w:rsid w:val="00554F82"/>
    <w:rsid w:val="0056390D"/>
    <w:rsid w:val="005719B0"/>
    <w:rsid w:val="005D10D6"/>
    <w:rsid w:val="005D1807"/>
    <w:rsid w:val="006D4EBB"/>
    <w:rsid w:val="00710416"/>
    <w:rsid w:val="007806A5"/>
    <w:rsid w:val="0084086F"/>
    <w:rsid w:val="00855E3A"/>
    <w:rsid w:val="00922CB9"/>
    <w:rsid w:val="009C748D"/>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3C32953"/>
    <w:rsid w:val="048256DD"/>
    <w:rsid w:val="0B9848D9"/>
    <w:rsid w:val="0CB07D0E"/>
    <w:rsid w:val="0CFE70EC"/>
    <w:rsid w:val="11DA0264"/>
    <w:rsid w:val="13947EDE"/>
    <w:rsid w:val="144C5BDC"/>
    <w:rsid w:val="1C4377BB"/>
    <w:rsid w:val="1FDE01B4"/>
    <w:rsid w:val="208F08A4"/>
    <w:rsid w:val="20A55D71"/>
    <w:rsid w:val="21D84887"/>
    <w:rsid w:val="274E3947"/>
    <w:rsid w:val="29CC7CB6"/>
    <w:rsid w:val="2EDA0EBF"/>
    <w:rsid w:val="34640184"/>
    <w:rsid w:val="34DE6D40"/>
    <w:rsid w:val="37DD7820"/>
    <w:rsid w:val="3A9664DD"/>
    <w:rsid w:val="3DA816E5"/>
    <w:rsid w:val="3EB21F20"/>
    <w:rsid w:val="43A24F63"/>
    <w:rsid w:val="45AF08B8"/>
    <w:rsid w:val="4DE97414"/>
    <w:rsid w:val="52510E18"/>
    <w:rsid w:val="52D8142D"/>
    <w:rsid w:val="57294773"/>
    <w:rsid w:val="58D12CA4"/>
    <w:rsid w:val="5A1A17ED"/>
    <w:rsid w:val="5D717302"/>
    <w:rsid w:val="5D7F7879"/>
    <w:rsid w:val="603C7F20"/>
    <w:rsid w:val="606A30C9"/>
    <w:rsid w:val="635C08A1"/>
    <w:rsid w:val="63C94605"/>
    <w:rsid w:val="68251AD1"/>
    <w:rsid w:val="70A37AF0"/>
    <w:rsid w:val="712B1F0F"/>
    <w:rsid w:val="79535183"/>
    <w:rsid w:val="7A8F1909"/>
    <w:rsid w:val="7C3521EC"/>
    <w:rsid w:val="7D205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ody Text"/>
    <w:basedOn w:val="1"/>
    <w:qFormat/>
    <w:uiPriority w:val="1"/>
    <w:rPr>
      <w:sz w:val="32"/>
      <w:szCs w:val="32"/>
    </w:rPr>
  </w:style>
  <w:style w:type="paragraph" w:styleId="12">
    <w:name w:val="Balloon Text"/>
    <w:basedOn w:val="1"/>
    <w:link w:val="47"/>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uiPriority w:val="99"/>
    <w:rPr>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85858" w:themeColor="text1" w:themeTint="A6"/>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unhideWhenUsed/>
    <w:qFormat/>
    <w:uiPriority w:val="39"/>
    <w:pPr>
      <w:outlineLvl w:val="9"/>
    </w:pPr>
    <w:rPr>
      <w:lang w:eastAsia="en-US" w:bidi="en-US"/>
    </w:rPr>
  </w:style>
  <w:style w:type="character" w:customStyle="1" w:styleId="45">
    <w:name w:val="页眉 Char"/>
    <w:basedOn w:val="18"/>
    <w:link w:val="14"/>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character" w:customStyle="1" w:styleId="48">
    <w:name w:val="font61"/>
    <w:basedOn w:val="18"/>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631</Words>
  <Characters>3599</Characters>
  <Lines>29</Lines>
  <Paragraphs>8</Paragraphs>
  <TotalTime>0</TotalTime>
  <ScaleCrop>false</ScaleCrop>
  <LinksUpToDate>false</LinksUpToDate>
  <CharactersWithSpaces>4222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2019-01-16T02:28:08Z</dcterms:modified>
  <dc:title>附件1：</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